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545"/>
        <w:gridCol w:w="47"/>
        <w:gridCol w:w="2108"/>
        <w:gridCol w:w="1024"/>
        <w:gridCol w:w="1244"/>
        <w:gridCol w:w="1888"/>
      </w:tblGrid>
      <w:tr w:rsidR="008A7EB0" w:rsidRPr="008A7EB0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8A7EB0" w:rsidRPr="004303F4" w:rsidRDefault="008A7EB0" w:rsidP="004303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</w:pPr>
            <w:r w:rsidRPr="004303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Study program :</w:t>
            </w:r>
            <w:r w:rsidRPr="004303F4">
              <w:rPr>
                <w:sz w:val="20"/>
                <w:szCs w:val="20"/>
              </w:rPr>
              <w:t xml:space="preserve"> </w:t>
            </w:r>
            <w:r w:rsidR="004303F4" w:rsidRPr="004303F4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Pre-School Teacher Education</w:t>
            </w:r>
          </w:p>
        </w:tc>
      </w:tr>
      <w:tr w:rsidR="008A7EB0" w:rsidRPr="008A7EB0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8A7EB0" w:rsidRPr="004303F4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303F4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Type and level of studies</w:t>
            </w:r>
            <w:r w:rsidR="004303F4" w:rsidRPr="004303F4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:</w:t>
            </w:r>
            <w:r w:rsidR="004303F4" w:rsidRPr="004303F4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="004303F4" w:rsidRPr="004303F4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Master Studies</w:t>
            </w:r>
          </w:p>
        </w:tc>
      </w:tr>
      <w:tr w:rsidR="008A7EB0" w:rsidRPr="008A7EB0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  <w:t>Course unit</w:t>
            </w: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: </w:t>
            </w:r>
            <w:r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>Speech Culture</w:t>
            </w:r>
            <w:bookmarkStart w:id="0" w:name="_GoBack"/>
            <w:bookmarkEnd w:id="0"/>
          </w:p>
        </w:tc>
      </w:tr>
      <w:tr w:rsidR="008A7EB0" w:rsidRPr="008A7EB0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Teacher in charge :  </w:t>
            </w:r>
            <w:r>
              <w:t xml:space="preserve"> </w:t>
            </w:r>
            <w:r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Ilijana R. Čutura</w:t>
            </w:r>
          </w:p>
        </w:tc>
      </w:tr>
      <w:tr w:rsidR="008A7EB0" w:rsidRPr="008A7EB0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8A7EB0" w:rsidRPr="008A7EB0" w:rsidRDefault="008A7EB0" w:rsidP="008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sr-Latn-R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Language of instruction</w:t>
            </w: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(</w:t>
            </w:r>
            <w:r w:rsidRPr="008A7E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RS" w:eastAsia="sr-Latn-CS"/>
              </w:rPr>
              <w:t>English or other foreign language</w:t>
            </w: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: English</w:t>
            </w:r>
          </w:p>
        </w:tc>
      </w:tr>
      <w:tr w:rsidR="008A7EB0" w:rsidRPr="008A7EB0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>ECTS</w:t>
            </w:r>
            <w:r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 xml:space="preserve"> 5</w:t>
            </w:r>
          </w:p>
        </w:tc>
      </w:tr>
      <w:tr w:rsidR="008A7EB0" w:rsidRPr="008A7EB0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8A7EB0" w:rsidRPr="008A7EB0" w:rsidRDefault="008A7EB0" w:rsidP="008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Prerequisites: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/</w:t>
            </w:r>
          </w:p>
        </w:tc>
      </w:tr>
      <w:tr w:rsidR="008A7EB0" w:rsidRPr="008A7EB0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8A7EB0" w:rsidRPr="008A7EB0" w:rsidRDefault="008A7EB0" w:rsidP="008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Semester</w:t>
            </w: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 xml:space="preserve">  </w:t>
            </w:r>
            <w:r w:rsidRPr="008A7E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sr-Latn-CS"/>
              </w:rPr>
              <w:t>(</w:t>
            </w:r>
            <w:r w:rsidRPr="008A7E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RS" w:eastAsia="sr-Latn-CS"/>
              </w:rPr>
              <w:t>Winter Semester or Summer Semester</w:t>
            </w:r>
            <w:r w:rsidRPr="008A7E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r-Latn-CS"/>
              </w:rPr>
              <w:t>)</w:t>
            </w:r>
          </w:p>
        </w:tc>
      </w:tr>
      <w:tr w:rsidR="008A7EB0" w:rsidRPr="008A7EB0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8A7EB0" w:rsidRDefault="008A7EB0" w:rsidP="008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Course unit objective</w:t>
            </w:r>
          </w:p>
          <w:p w:rsidR="008A7EB0" w:rsidRPr="008A7EB0" w:rsidRDefault="008A7EB0" w:rsidP="008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Training students for continuing work on fostering their own culture of speech and speech culture of children</w:t>
            </w:r>
          </w:p>
          <w:p w:rsidR="008A7EB0" w:rsidRPr="008A7EB0" w:rsidRDefault="008A7EB0" w:rsidP="008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preschoolers. Training students for problems and adequate procedures for solving them in</w:t>
            </w:r>
          </w:p>
          <w:p w:rsidR="008A7EB0" w:rsidRPr="008A7EB0" w:rsidRDefault="008A7EB0" w:rsidP="008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the field of culture speech.</w:t>
            </w:r>
          </w:p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8A7EB0" w:rsidRPr="008A7EB0" w:rsidTr="00F4791B">
        <w:trPr>
          <w:trHeight w:val="601"/>
        </w:trPr>
        <w:tc>
          <w:tcPr>
            <w:tcW w:w="9396" w:type="dxa"/>
            <w:gridSpan w:val="7"/>
            <w:vAlign w:val="center"/>
          </w:tcPr>
          <w:p w:rsid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>Learning outcomes of Course unit</w:t>
            </w:r>
          </w:p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 xml:space="preserve">The student knows the basic concepts of speech culture, standard Serbian language and the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 xml:space="preserve">products of its disintegration. </w:t>
            </w:r>
            <w:r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Qualified for improvement, directing and promoting speech of preschool childre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 xml:space="preserve">n. He can independently conduct </w:t>
            </w:r>
            <w:r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researching speech characteristics and application of research results.</w:t>
            </w:r>
          </w:p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8A7EB0" w:rsidRPr="008A7EB0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Course unit contents</w:t>
            </w:r>
            <w:r w:rsidRPr="008A7EB0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  <w:t xml:space="preserve"> </w:t>
            </w:r>
          </w:p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</w:pPr>
          </w:p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 xml:space="preserve">Theoretical classes </w:t>
            </w:r>
          </w:p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 w:eastAsia="sr-Latn-CS"/>
              </w:rPr>
              <w:t>The concept and importance of the culture of speech and its relationship to culture in general. Languag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 w:eastAsia="sr-Latn-CS"/>
              </w:rPr>
              <w:t xml:space="preserve">e and speech, language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>stratification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 w:eastAsia="sr-Latn-CS"/>
              </w:rPr>
              <w:t>. Standard language.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 xml:space="preserve"> </w:t>
            </w:r>
            <w:r w:rsidRPr="008A7E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 w:eastAsia="sr-Latn-CS"/>
              </w:rPr>
              <w:t xml:space="preserve">Communication and interpretative discourses. Characteristics of a good speech. Norma, style and </w:t>
            </w:r>
            <w:r w:rsidR="00843A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>efficiency of linguistic expression.</w:t>
            </w:r>
          </w:p>
          <w:p w:rsid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R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 xml:space="preserve">Practical classes </w:t>
            </w:r>
          </w:p>
          <w:p w:rsidR="00843A98" w:rsidRPr="008A7EB0" w:rsidRDefault="00843A98" w:rsidP="00843A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</w:pPr>
            <w:r w:rsidRPr="00843A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>The methods and procedures for the development of language culture. Identification and description of th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 xml:space="preserve">e various dialects, sociolects, </w:t>
            </w:r>
            <w:r w:rsidRPr="00843A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>functional styles. Idio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>lect. Style and linguostylistics</w:t>
            </w:r>
            <w:r w:rsidRPr="00843A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 xml:space="preserve">. Research work: analysis of speech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 xml:space="preserve">in children, the language style </w:t>
            </w:r>
            <w:r w:rsidRPr="00843A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>characteristics of literature for children and adults and the impact of media on the speech of preschool children.</w:t>
            </w:r>
          </w:p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8A7EB0" w:rsidRPr="008A7EB0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>Literature</w:t>
            </w:r>
          </w:p>
          <w:p w:rsidR="00140AD9" w:rsidRPr="00140AD9" w:rsidRDefault="00140AD9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</w:pPr>
            <w:proofErr w:type="spellStart"/>
            <w:r w:rsidRPr="00140A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Stolarek</w:t>
            </w:r>
            <w:proofErr w:type="spellEnd"/>
            <w:r w:rsidRPr="00140A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 xml:space="preserve">, </w:t>
            </w:r>
            <w:proofErr w:type="spellStart"/>
            <w:r w:rsidRPr="00140A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Juchar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tz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 xml:space="preserve">, Classical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tehniques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 xml:space="preserve"> and contemporary arguments, Chapter I, London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: 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>llyn &amp; Bacon, Longman</w:t>
            </w:r>
            <w:r w:rsidR="00235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>, 2007.</w:t>
            </w:r>
          </w:p>
          <w:p w:rsidR="00235A44" w:rsidRPr="00140AD9" w:rsidRDefault="00140AD9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</w:pPr>
            <w:r w:rsidRPr="00140A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Cr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y</w:t>
            </w:r>
            <w:r w:rsidR="00235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stal D., Language death, London</w:t>
            </w:r>
            <w:r w:rsidR="00235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 xml:space="preserve"> Cambridge University Press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 xml:space="preserve">, </w:t>
            </w:r>
            <w:r w:rsidR="00235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2000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.</w:t>
            </w:r>
          </w:p>
          <w:p w:rsidR="008A7EB0" w:rsidRDefault="00140AD9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ERIC Database and Thesaurus, Lan</w:t>
            </w:r>
            <w:r w:rsidR="00D532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guage and Speech, Institute of 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 xml:space="preserve">ducational Sciences, </w:t>
            </w:r>
            <w:hyperlink r:id="rId5" w:history="1">
              <w:r w:rsidR="00235A44" w:rsidRPr="00711FCC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sr-Cyrl-CS" w:eastAsia="sr-Latn-CS"/>
                </w:rPr>
                <w:t>http://eric.ed.gov/?ti=450</w:t>
              </w:r>
            </w:hyperlink>
          </w:p>
          <w:p w:rsidR="00C209AE" w:rsidRDefault="00C209AE" w:rsidP="00C209A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</w:pPr>
            <w:r w:rsidRPr="00C2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Pavle Ivi</w:t>
            </w:r>
            <w:r w:rsidRPr="00C2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 xml:space="preserve">ć, </w:t>
            </w:r>
            <w:r w:rsidRPr="00C2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Standard language as an instrument of culture and the product of national history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 xml:space="preserve">,  Chapter from the book </w:t>
            </w:r>
            <w:r w:rsidRPr="00C2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>"The history of Serbian Culture"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 xml:space="preserve">, Edgware, Middiesex: </w:t>
            </w:r>
            <w:r w:rsidRPr="00C2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>Porthill Publishers,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 xml:space="preserve"> </w:t>
            </w:r>
            <w:r w:rsidRPr="00C2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>1995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 xml:space="preserve">, </w:t>
            </w:r>
            <w:hyperlink r:id="rId6" w:history="1">
              <w:r w:rsidR="00E16270" w:rsidRPr="0059113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sr-Latn-RS" w:eastAsia="sr-Latn-CS"/>
                </w:rPr>
                <w:t>http://www.rastko.rs/isk/pivic-standard_language.html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 xml:space="preserve"> </w:t>
            </w:r>
          </w:p>
          <w:p w:rsidR="00E16270" w:rsidRPr="00C209AE" w:rsidRDefault="00E16270" w:rsidP="00C209A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>Penelope E. and J.</w:t>
            </w:r>
            <w:r w:rsidRPr="00E162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 xml:space="preserve"> R. Rickford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 xml:space="preserve">, Style and Sociolinguistic Variation, </w:t>
            </w:r>
            <w:r w:rsidRPr="00E162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>Part 4 Functionally motivated situational variation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 xml:space="preserve">, </w:t>
            </w:r>
            <w:r w:rsidRPr="00E162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 xml:space="preserve"> New York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>:</w:t>
            </w:r>
            <w:r w:rsidRPr="00E162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 xml:space="preserve"> Cambridge University Press,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 xml:space="preserve">2001, </w:t>
            </w:r>
            <w:hyperlink r:id="rId7" w:history="1">
              <w:r w:rsidRPr="0059113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sr-Latn-RS" w:eastAsia="sr-Latn-CS"/>
                </w:rPr>
                <w:t>http://www.pdfdrive.net/style-and-sociolinguistic-variation-e8280859.html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 xml:space="preserve"> </w:t>
            </w:r>
          </w:p>
          <w:p w:rsidR="00235A44" w:rsidRPr="00235A44" w:rsidRDefault="00235A44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</w:pPr>
          </w:p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8A7EB0" w:rsidRPr="008A7EB0" w:rsidTr="00F4791B">
        <w:trPr>
          <w:trHeight w:val="227"/>
        </w:trPr>
        <w:tc>
          <w:tcPr>
            <w:tcW w:w="7508" w:type="dxa"/>
            <w:gridSpan w:val="6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Number of active teaching</w:t>
            </w: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 xml:space="preserve"> hours</w:t>
            </w:r>
          </w:p>
        </w:tc>
        <w:tc>
          <w:tcPr>
            <w:tcW w:w="1888" w:type="dxa"/>
            <w:vMerge w:val="restart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>Other classes</w:t>
            </w: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</w:p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8A7EB0" w:rsidRPr="008A7EB0" w:rsidTr="00F4791B">
        <w:trPr>
          <w:trHeight w:val="227"/>
        </w:trPr>
        <w:tc>
          <w:tcPr>
            <w:tcW w:w="1540" w:type="dxa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Lectures:</w:t>
            </w:r>
          </w:p>
          <w:p w:rsidR="008A7EB0" w:rsidRPr="008A7EB0" w:rsidRDefault="00843A98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>30</w:t>
            </w:r>
          </w:p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45" w:type="dxa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Practice:</w:t>
            </w:r>
          </w:p>
          <w:p w:rsidR="008A7EB0" w:rsidRPr="008A7EB0" w:rsidRDefault="00843A98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>15</w:t>
            </w:r>
          </w:p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Other forms of classes</w:t>
            </w:r>
          </w:p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Independent </w:t>
            </w:r>
            <w:r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>work</w:t>
            </w:r>
            <w:r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:</w:t>
            </w:r>
          </w:p>
          <w:p w:rsidR="008A7EB0" w:rsidRPr="008A7EB0" w:rsidRDefault="00843A98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>30</w:t>
            </w:r>
          </w:p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88" w:type="dxa"/>
            <w:vMerge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8A7EB0" w:rsidRPr="008A7EB0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Teaching methods </w:t>
            </w:r>
          </w:p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8A7EB0" w:rsidRPr="008A7EB0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Examination methods (</w:t>
            </w: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maximum 100 points)</w:t>
            </w:r>
          </w:p>
        </w:tc>
      </w:tr>
      <w:tr w:rsidR="008A7EB0" w:rsidRPr="008A7EB0" w:rsidTr="00F4791B">
        <w:trPr>
          <w:trHeight w:val="227"/>
        </w:trPr>
        <w:tc>
          <w:tcPr>
            <w:tcW w:w="3085" w:type="dxa"/>
            <w:gridSpan w:val="2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Latn-R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sr-Latn-CS"/>
              </w:rPr>
              <w:lastRenderedPageBreak/>
              <w:t>Exam p</w:t>
            </w:r>
            <w:r w:rsidRPr="008A7EB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>re</w:t>
            </w:r>
            <w:r w:rsidRPr="008A7EB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Latn-RS" w:eastAsia="sr-Latn-CS"/>
              </w:rPr>
              <w:t>requisites</w:t>
            </w:r>
          </w:p>
        </w:tc>
        <w:tc>
          <w:tcPr>
            <w:tcW w:w="2155" w:type="dxa"/>
            <w:gridSpan w:val="2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No. of points: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Latn-RS" w:eastAsia="sr-Latn-CS"/>
              </w:rPr>
              <w:t>Final exam</w:t>
            </w:r>
            <w:r w:rsidRPr="008A7EB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No. of points:</w:t>
            </w:r>
          </w:p>
        </w:tc>
      </w:tr>
      <w:tr w:rsidR="008A7EB0" w:rsidRPr="008A7EB0" w:rsidTr="00F4791B">
        <w:trPr>
          <w:trHeight w:val="227"/>
        </w:trPr>
        <w:tc>
          <w:tcPr>
            <w:tcW w:w="3085" w:type="dxa"/>
            <w:gridSpan w:val="2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>Student’s a</w:t>
            </w: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ctivity during lectures</w:t>
            </w:r>
          </w:p>
        </w:tc>
        <w:tc>
          <w:tcPr>
            <w:tcW w:w="2155" w:type="dxa"/>
            <w:gridSpan w:val="2"/>
            <w:vAlign w:val="center"/>
          </w:tcPr>
          <w:p w:rsidR="008A7EB0" w:rsidRPr="008A7EB0" w:rsidRDefault="00843A98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</w:pPr>
            <w:r w:rsidRPr="00843A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oral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8A7EB0" w:rsidRPr="008A7EB0" w:rsidTr="00F4791B">
        <w:trPr>
          <w:trHeight w:val="227"/>
        </w:trPr>
        <w:tc>
          <w:tcPr>
            <w:tcW w:w="3085" w:type="dxa"/>
            <w:gridSpan w:val="2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R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practical classes</w:t>
            </w: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/tests</w:t>
            </w:r>
          </w:p>
        </w:tc>
        <w:tc>
          <w:tcPr>
            <w:tcW w:w="2155" w:type="dxa"/>
            <w:gridSpan w:val="2"/>
            <w:vAlign w:val="center"/>
          </w:tcPr>
          <w:p w:rsidR="008A7EB0" w:rsidRPr="008A7EB0" w:rsidRDefault="00843A98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</w:pPr>
            <w:r w:rsidRPr="00843A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>30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written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8A7EB0" w:rsidRPr="008A7EB0" w:rsidRDefault="00843A98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>50</w:t>
            </w:r>
          </w:p>
        </w:tc>
      </w:tr>
      <w:tr w:rsidR="008A7EB0" w:rsidRPr="008A7EB0" w:rsidTr="00F4791B">
        <w:trPr>
          <w:trHeight w:val="227"/>
        </w:trPr>
        <w:tc>
          <w:tcPr>
            <w:tcW w:w="3085" w:type="dxa"/>
            <w:gridSpan w:val="2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R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Seminars/homework</w:t>
            </w:r>
          </w:p>
        </w:tc>
        <w:tc>
          <w:tcPr>
            <w:tcW w:w="2155" w:type="dxa"/>
            <w:gridSpan w:val="2"/>
            <w:vAlign w:val="center"/>
          </w:tcPr>
          <w:p w:rsidR="008A7EB0" w:rsidRPr="008A7EB0" w:rsidRDefault="00843A98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</w:pPr>
            <w:r w:rsidRPr="00843A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>..........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8A7EB0" w:rsidRPr="008A7EB0" w:rsidTr="00F4791B">
        <w:trPr>
          <w:trHeight w:val="227"/>
        </w:trPr>
        <w:tc>
          <w:tcPr>
            <w:tcW w:w="3085" w:type="dxa"/>
            <w:gridSpan w:val="2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Project</w:t>
            </w:r>
          </w:p>
        </w:tc>
        <w:tc>
          <w:tcPr>
            <w:tcW w:w="2155" w:type="dxa"/>
            <w:gridSpan w:val="2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8A7EB0" w:rsidRPr="008A7EB0" w:rsidTr="00F4791B">
        <w:trPr>
          <w:trHeight w:val="227"/>
        </w:trPr>
        <w:tc>
          <w:tcPr>
            <w:tcW w:w="3085" w:type="dxa"/>
            <w:gridSpan w:val="2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Other</w:t>
            </w:r>
          </w:p>
        </w:tc>
        <w:tc>
          <w:tcPr>
            <w:tcW w:w="2155" w:type="dxa"/>
            <w:gridSpan w:val="2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8A7EB0" w:rsidRPr="008A7EB0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Grading </w:t>
            </w: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  <w:t>system</w:t>
            </w:r>
          </w:p>
        </w:tc>
      </w:tr>
      <w:tr w:rsidR="008A7EB0" w:rsidRPr="008A7EB0" w:rsidTr="00F4791B">
        <w:trPr>
          <w:trHeight w:val="227"/>
        </w:trPr>
        <w:tc>
          <w:tcPr>
            <w:tcW w:w="3132" w:type="dxa"/>
            <w:gridSpan w:val="3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r-Latn-CS"/>
              </w:rPr>
              <w:t>Grade</w:t>
            </w:r>
          </w:p>
        </w:tc>
        <w:tc>
          <w:tcPr>
            <w:tcW w:w="3132" w:type="dxa"/>
            <w:gridSpan w:val="2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  <w:t>No. of points</w:t>
            </w:r>
          </w:p>
        </w:tc>
        <w:tc>
          <w:tcPr>
            <w:tcW w:w="3132" w:type="dxa"/>
            <w:gridSpan w:val="2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  <w:t>Description</w:t>
            </w:r>
          </w:p>
        </w:tc>
      </w:tr>
      <w:tr w:rsidR="008A7EB0" w:rsidRPr="008A7EB0" w:rsidTr="00F4791B">
        <w:trPr>
          <w:trHeight w:val="227"/>
        </w:trPr>
        <w:tc>
          <w:tcPr>
            <w:tcW w:w="3132" w:type="dxa"/>
            <w:gridSpan w:val="3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10</w:t>
            </w:r>
          </w:p>
        </w:tc>
        <w:tc>
          <w:tcPr>
            <w:tcW w:w="3132" w:type="dxa"/>
            <w:gridSpan w:val="2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....</w:t>
            </w:r>
          </w:p>
        </w:tc>
        <w:tc>
          <w:tcPr>
            <w:tcW w:w="3132" w:type="dxa"/>
            <w:gridSpan w:val="2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Excellent</w:t>
            </w:r>
          </w:p>
        </w:tc>
      </w:tr>
      <w:tr w:rsidR="008A7EB0" w:rsidRPr="008A7EB0" w:rsidTr="00F4791B">
        <w:trPr>
          <w:trHeight w:val="227"/>
        </w:trPr>
        <w:tc>
          <w:tcPr>
            <w:tcW w:w="3132" w:type="dxa"/>
            <w:gridSpan w:val="3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9</w:t>
            </w:r>
          </w:p>
        </w:tc>
        <w:tc>
          <w:tcPr>
            <w:tcW w:w="3132" w:type="dxa"/>
            <w:gridSpan w:val="2"/>
          </w:tcPr>
          <w:p w:rsidR="008A7EB0" w:rsidRPr="008A7EB0" w:rsidRDefault="008A7EB0" w:rsidP="008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....</w:t>
            </w:r>
          </w:p>
        </w:tc>
        <w:tc>
          <w:tcPr>
            <w:tcW w:w="3132" w:type="dxa"/>
            <w:gridSpan w:val="2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Exceptionally good</w:t>
            </w:r>
          </w:p>
        </w:tc>
      </w:tr>
      <w:tr w:rsidR="008A7EB0" w:rsidRPr="008A7EB0" w:rsidTr="00F4791B">
        <w:trPr>
          <w:trHeight w:val="227"/>
        </w:trPr>
        <w:tc>
          <w:tcPr>
            <w:tcW w:w="3132" w:type="dxa"/>
            <w:gridSpan w:val="3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8</w:t>
            </w:r>
          </w:p>
        </w:tc>
        <w:tc>
          <w:tcPr>
            <w:tcW w:w="3132" w:type="dxa"/>
            <w:gridSpan w:val="2"/>
          </w:tcPr>
          <w:p w:rsidR="008A7EB0" w:rsidRPr="008A7EB0" w:rsidRDefault="008A7EB0" w:rsidP="008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....</w:t>
            </w:r>
          </w:p>
        </w:tc>
        <w:tc>
          <w:tcPr>
            <w:tcW w:w="3132" w:type="dxa"/>
            <w:gridSpan w:val="2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Very good</w:t>
            </w:r>
          </w:p>
        </w:tc>
      </w:tr>
      <w:tr w:rsidR="008A7EB0" w:rsidRPr="008A7EB0" w:rsidTr="00F4791B">
        <w:trPr>
          <w:trHeight w:val="227"/>
        </w:trPr>
        <w:tc>
          <w:tcPr>
            <w:tcW w:w="3132" w:type="dxa"/>
            <w:gridSpan w:val="3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7</w:t>
            </w:r>
          </w:p>
        </w:tc>
        <w:tc>
          <w:tcPr>
            <w:tcW w:w="3132" w:type="dxa"/>
            <w:gridSpan w:val="2"/>
          </w:tcPr>
          <w:p w:rsidR="008A7EB0" w:rsidRPr="008A7EB0" w:rsidRDefault="008A7EB0" w:rsidP="008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....</w:t>
            </w:r>
          </w:p>
        </w:tc>
        <w:tc>
          <w:tcPr>
            <w:tcW w:w="3132" w:type="dxa"/>
            <w:gridSpan w:val="2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Good</w:t>
            </w:r>
          </w:p>
        </w:tc>
      </w:tr>
      <w:tr w:rsidR="008A7EB0" w:rsidRPr="008A7EB0" w:rsidTr="00F4791B">
        <w:trPr>
          <w:trHeight w:val="227"/>
        </w:trPr>
        <w:tc>
          <w:tcPr>
            <w:tcW w:w="3132" w:type="dxa"/>
            <w:gridSpan w:val="3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6</w:t>
            </w:r>
          </w:p>
        </w:tc>
        <w:tc>
          <w:tcPr>
            <w:tcW w:w="3132" w:type="dxa"/>
            <w:gridSpan w:val="2"/>
          </w:tcPr>
          <w:p w:rsidR="008A7EB0" w:rsidRPr="008A7EB0" w:rsidRDefault="008A7EB0" w:rsidP="008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....</w:t>
            </w:r>
          </w:p>
        </w:tc>
        <w:tc>
          <w:tcPr>
            <w:tcW w:w="3132" w:type="dxa"/>
            <w:gridSpan w:val="2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Passing</w:t>
            </w:r>
          </w:p>
        </w:tc>
      </w:tr>
      <w:tr w:rsidR="008A7EB0" w:rsidRPr="008A7EB0" w:rsidTr="00F4791B">
        <w:trPr>
          <w:trHeight w:val="227"/>
        </w:trPr>
        <w:tc>
          <w:tcPr>
            <w:tcW w:w="3132" w:type="dxa"/>
            <w:gridSpan w:val="3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5</w:t>
            </w:r>
          </w:p>
        </w:tc>
        <w:tc>
          <w:tcPr>
            <w:tcW w:w="3132" w:type="dxa"/>
            <w:gridSpan w:val="2"/>
          </w:tcPr>
          <w:p w:rsidR="008A7EB0" w:rsidRPr="008A7EB0" w:rsidRDefault="008A7EB0" w:rsidP="008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....</w:t>
            </w:r>
          </w:p>
        </w:tc>
        <w:tc>
          <w:tcPr>
            <w:tcW w:w="3132" w:type="dxa"/>
            <w:gridSpan w:val="2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Failing</w:t>
            </w:r>
          </w:p>
        </w:tc>
      </w:tr>
    </w:tbl>
    <w:p w:rsidR="008A7EB0" w:rsidRPr="008A7EB0" w:rsidRDefault="008A7EB0" w:rsidP="008A7EB0">
      <w:pPr>
        <w:widowControl w:val="0"/>
        <w:tabs>
          <w:tab w:val="left" w:pos="567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Cs/>
          <w:lang w:val="sr-Cyrl-CS" w:eastAsia="sr-Latn-CS"/>
        </w:rPr>
      </w:pPr>
      <w:r w:rsidRPr="008A7EB0">
        <w:rPr>
          <w:rFonts w:ascii="Times New Roman" w:eastAsia="Times New Roman" w:hAnsi="Times New Roman" w:cs="Times New Roman"/>
          <w:b/>
          <w:bCs/>
          <w:lang w:val="sr-Latn-RS" w:eastAsia="sr-Latn-CS"/>
        </w:rPr>
        <w:t xml:space="preserve">(Table </w:t>
      </w:r>
      <w:r w:rsidRPr="008A7EB0">
        <w:rPr>
          <w:rFonts w:ascii="Times New Roman" w:eastAsia="Times New Roman" w:hAnsi="Times New Roman" w:cs="Times New Roman"/>
          <w:b/>
          <w:bCs/>
          <w:lang w:val="sr-Cyrl-CS" w:eastAsia="sr-Latn-CS"/>
        </w:rPr>
        <w:t>5.2</w:t>
      </w:r>
      <w:r w:rsidRPr="008A7EB0">
        <w:rPr>
          <w:rFonts w:ascii="Times New Roman" w:eastAsia="Times New Roman" w:hAnsi="Times New Roman" w:cs="Times New Roman"/>
          <w:b/>
          <w:bCs/>
          <w:lang w:val="sr-Latn-RS" w:eastAsia="sr-Latn-CS"/>
        </w:rPr>
        <w:t xml:space="preserve">) </w:t>
      </w:r>
      <w:r w:rsidRPr="008A7EB0">
        <w:rPr>
          <w:rFonts w:ascii="Times New Roman" w:eastAsia="Times New Roman" w:hAnsi="Times New Roman" w:cs="Times New Roman"/>
          <w:b/>
          <w:bCs/>
          <w:lang w:val="sr-Cyrl-CS" w:eastAsia="sr-Latn-CS"/>
        </w:rPr>
        <w:t xml:space="preserve"> </w:t>
      </w:r>
      <w:r w:rsidRPr="008A7EB0">
        <w:rPr>
          <w:rFonts w:ascii="Times New Roman" w:eastAsia="Times New Roman" w:hAnsi="Times New Roman" w:cs="Times New Roman"/>
          <w:b/>
          <w:bCs/>
          <w:lang w:val="en-US" w:eastAsia="sr-Latn-CS"/>
        </w:rPr>
        <w:t>Course unit description</w:t>
      </w:r>
    </w:p>
    <w:p w:rsidR="00F36A8E" w:rsidRDefault="004303F4"/>
    <w:sectPr w:rsidR="00F36A8E" w:rsidSect="009373DF">
      <w:pgSz w:w="12240" w:h="15840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B0"/>
    <w:rsid w:val="000E493A"/>
    <w:rsid w:val="00140AD9"/>
    <w:rsid w:val="00235A44"/>
    <w:rsid w:val="004303F4"/>
    <w:rsid w:val="0070114C"/>
    <w:rsid w:val="00843A98"/>
    <w:rsid w:val="008A7EB0"/>
    <w:rsid w:val="00A127D9"/>
    <w:rsid w:val="00C209AE"/>
    <w:rsid w:val="00D53235"/>
    <w:rsid w:val="00E1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90988-98C9-4BDA-A6E9-C757C221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dfdrive.net/style-and-sociolinguistic-variation-e828085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astko.rs/isk/pivic-standard_language.html" TargetMode="External"/><Relationship Id="rId5" Type="http://schemas.openxmlformats.org/officeDocument/2006/relationships/hyperlink" Target="http://eric.ed.gov/?ti=4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E63F1-F957-4633-A646-5ADBDC52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Ivana Cirkovic Miladinovic</cp:lastModifiedBy>
  <cp:revision>3</cp:revision>
  <dcterms:created xsi:type="dcterms:W3CDTF">2015-06-21T17:25:00Z</dcterms:created>
  <dcterms:modified xsi:type="dcterms:W3CDTF">2015-07-03T12:15:00Z</dcterms:modified>
</cp:coreProperties>
</file>